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ZÁPISNICA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Výkonný výbor –</w:t>
      </w:r>
      <w:r w:rsidDel="00000000" w:rsidR="00000000" w:rsidRPr="00000000">
        <w:rPr>
          <w:rtl w:val="0"/>
        </w:rPr>
        <w:t xml:space="preserve"> 3.9.2025</w:t>
        <w:br w:type="textWrapping"/>
      </w:r>
      <w:r w:rsidDel="00000000" w:rsidR="00000000" w:rsidRPr="00000000">
        <w:rPr>
          <w:b w:val="1"/>
          <w:rtl w:val="0"/>
        </w:rPr>
        <w:t xml:space="preserve">Prítomní</w:t>
      </w:r>
      <w:r w:rsidDel="00000000" w:rsidR="00000000" w:rsidRPr="00000000">
        <w:rPr>
          <w:rtl w:val="0"/>
        </w:rPr>
        <w:t xml:space="preserve">: Ivan Tomko, Michal Potecký, Peter Amzler, David Kubíček, Tomáš Tóth, Patrik Varga, Štefan Hudák, Lukáš Tužinčin, Pali Bozogáň, Tomáš Kozáček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1. Sponzoring a partneri MSR 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Prebiehajú rokovania s Tipsportom, Tiposom, CDesk a ďalšími potenciálnymi partnermi</w:t>
        <w:br w:type="textWrapping"/>
        <w:t xml:space="preserve">- Prenájom kurtu v Auparku potvrdený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2. Organizácia MSR 2026</w:t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t xml:space="preserve">- Organizátorom bude SSQA v spolupráci s partnermi a Auparkom.</w:t>
        <w:br w:type="textWrapping"/>
        <w:t xml:space="preserve">- Dušan Richtárik rieši technickú stránku prípravy kurtu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- Tomáš Kozáček pripraví návrh propozícií ešte v priebehu tohto týždňa.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4. Termínovka a súpisky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Patrik Varga navrhuje školenia trénerov, ktore budú zverejenné na stránkach SSQA v termínovke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5. Rozhodcovia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Štefan Hudák pripravuje plan osvety rozšírenia povedomia o rozhodovaní s cieľom rozšíriť základňu rozhodcov.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6. Juniorský systém a evidencia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Dopĺňa sa system odmeny juniorov v gescii Petra Amzlera. Súčasný document bude doplnený o niektoré body a schválený na budúcom VV.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7. Nový model turnajov pre juniorov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Pilotný model: Spojený A turnaj s juniormi v sobotu. Uvažuje sa nad vhodným termínom na tento pilot. Cieľ: vyššia efektivita a motivácia detí, úspora času a nákladov pre rodičov.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8. Slovak Junior Open – dotácia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Preplatenie 30 € z registračného poplatku pre slovenských účastníkov schválené.</w:t>
        <w:br w:type="textWrapping"/>
        <w:t xml:space="preserve">- Patrik Varga a Tomáš Tóth zabezpečia komunikáciu tejto podpory s trénermi.</w:t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Slovenská squashová asociácia, Junácka 6, Bratislava, 832 80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-67309</wp:posOffset>
          </wp:positionV>
          <wp:extent cx="1028700" cy="514350"/>
          <wp:effectExtent b="0" l="0" r="0" t="0"/>
          <wp:wrapNone/>
          <wp:docPr descr="C:\Users\David\Desktop\gs squash\logo sqqa.PNG" id="1443317792" name="image1.png"/>
          <a:graphic>
            <a:graphicData uri="http://schemas.openxmlformats.org/drawingml/2006/picture">
              <pic:pic>
                <pic:nvPicPr>
                  <pic:cNvPr descr="C:\Users\David\Desktop\gs squash\logo sqq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514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4948555</wp:posOffset>
          </wp:positionH>
          <wp:positionV relativeFrom="paragraph">
            <wp:posOffset>-106679</wp:posOffset>
          </wp:positionV>
          <wp:extent cx="1028700" cy="514350"/>
          <wp:effectExtent b="0" l="0" r="0" t="0"/>
          <wp:wrapNone/>
          <wp:docPr descr="C:\Users\David\Desktop\gs squash\logo sqqa.PNG" id="1443317791" name="image1.png"/>
          <a:graphic>
            <a:graphicData uri="http://schemas.openxmlformats.org/drawingml/2006/picture">
              <pic:pic>
                <pic:nvPicPr>
                  <pic:cNvPr descr="C:\Users\David\Desktop\gs squash\logo sqq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qFormat w:val="1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QlIu8KHChQFpDhACh05WtU/3fg==">CgMxLjA4AHIhMUlmRG5pVlNUak11YnBzUDh4cFhPaEVxM0pCallEa3Fq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